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4942" w14:textId="20CD86ED" w:rsidR="00327858" w:rsidRPr="008D7C45" w:rsidRDefault="00327858" w:rsidP="00327858">
      <w:pPr>
        <w:pStyle w:val="Heading2"/>
        <w:keepNext/>
        <w:spacing w:line="240" w:lineRule="auto"/>
      </w:pPr>
      <w:bookmarkStart w:id="0" w:name="_Toc33018476"/>
      <w:bookmarkStart w:id="1" w:name="_Toc33020997"/>
      <w:bookmarkStart w:id="2" w:name="_Toc33694064"/>
      <w:bookmarkStart w:id="3" w:name="_Toc34204927"/>
      <w:bookmarkStart w:id="4" w:name="_Toc67474213"/>
      <w:bookmarkStart w:id="5" w:name="_Toc67489377"/>
      <w:bookmarkStart w:id="6" w:name="_Toc97194559"/>
      <w:r>
        <w:t>Organizational Information (PB-2 Form)</w:t>
      </w:r>
      <w:bookmarkEnd w:id="0"/>
      <w:bookmarkEnd w:id="1"/>
      <w:bookmarkEnd w:id="2"/>
      <w:bookmarkEnd w:id="3"/>
      <w:bookmarkEnd w:id="4"/>
      <w:bookmarkEnd w:id="5"/>
      <w:bookmarkEnd w:id="6"/>
    </w:p>
    <w:p w14:paraId="661CD98F" w14:textId="77777777" w:rsidR="00FB5FA6" w:rsidRDefault="00FB5FA6" w:rsidP="00FB5FA6">
      <w:pPr>
        <w:rPr>
          <w:rFonts w:cstheme="minorHAnsi"/>
        </w:rPr>
      </w:pPr>
      <w:r w:rsidRPr="000C2366">
        <w:rPr>
          <w:rFonts w:cstheme="minorHAnsi"/>
        </w:rPr>
        <w:t xml:space="preserve">The Organizational Summary (PB-2) Form provides information about the </w:t>
      </w:r>
      <w:r>
        <w:rPr>
          <w:rFonts w:cstheme="minorHAnsi"/>
        </w:rPr>
        <w:t>Office</w:t>
      </w:r>
      <w:r w:rsidRPr="000C2366">
        <w:rPr>
          <w:rFonts w:cstheme="minorHAnsi"/>
        </w:rPr>
        <w:t xml:space="preserve">’s or </w:t>
      </w:r>
      <w:r>
        <w:rPr>
          <w:rFonts w:cstheme="minorHAnsi"/>
        </w:rPr>
        <w:t>Department</w:t>
      </w:r>
      <w:r w:rsidRPr="000C2366">
        <w:rPr>
          <w:rFonts w:cstheme="minorHAnsi"/>
        </w:rPr>
        <w:t>’s</w:t>
      </w:r>
      <w:r>
        <w:rPr>
          <w:rFonts w:cstheme="minorHAnsi"/>
        </w:rPr>
        <w:t xml:space="preserve"> organizational structure including current organizational structure and proposed organizational and position changes</w:t>
      </w:r>
      <w:r w:rsidRPr="00050199">
        <w:rPr>
          <w:rFonts w:cstheme="minorHAnsi"/>
        </w:rPr>
        <w:t xml:space="preserve">. </w:t>
      </w:r>
    </w:p>
    <w:p w14:paraId="7BD33117" w14:textId="77777777" w:rsidR="00FB5FA6" w:rsidRPr="008D7C45" w:rsidRDefault="00FB5FA6" w:rsidP="00FB5FA6">
      <w:r>
        <w:rPr>
          <w:rFonts w:cstheme="minorHAnsi"/>
          <w:b/>
          <w:bCs/>
        </w:rPr>
        <w:t xml:space="preserve">Organizational Structure: </w:t>
      </w:r>
      <w:r w:rsidRPr="00C964F3">
        <w:rPr>
          <w:rFonts w:cstheme="minorHAnsi"/>
        </w:rPr>
        <w:t>B</w:t>
      </w:r>
      <w:r w:rsidRPr="005374A1">
        <w:rPr>
          <w:rFonts w:cstheme="minorHAnsi"/>
        </w:rPr>
        <w:t xml:space="preserve">riefly </w:t>
      </w:r>
      <w:r>
        <w:rPr>
          <w:rFonts w:cstheme="minorHAnsi"/>
        </w:rPr>
        <w:t>discuss</w:t>
      </w:r>
      <w:r w:rsidRPr="00097A8C">
        <w:rPr>
          <w:rFonts w:cstheme="minorHAnsi"/>
        </w:rPr>
        <w:t xml:space="preserve"> any changes to the </w:t>
      </w:r>
      <w:r>
        <w:rPr>
          <w:rFonts w:cstheme="minorHAnsi"/>
        </w:rPr>
        <w:t>Department</w:t>
      </w:r>
      <w:r w:rsidRPr="00097A8C">
        <w:rPr>
          <w:rFonts w:cstheme="minorHAnsi"/>
        </w:rPr>
        <w:t>’s organizational structure since October 1, 2023</w:t>
      </w:r>
      <w:r>
        <w:rPr>
          <w:rFonts w:cstheme="minorHAnsi"/>
        </w:rPr>
        <w:t>, and any proposed organizational changes</w:t>
      </w:r>
      <w:r w:rsidRPr="00097A8C">
        <w:rPr>
          <w:rFonts w:cstheme="minorHAnsi"/>
        </w:rPr>
        <w:t xml:space="preserve">. </w:t>
      </w:r>
      <w:r w:rsidRPr="008D7C45">
        <w:rPr>
          <w:rFonts w:cstheme="minorHAnsi"/>
        </w:rPr>
        <w:t>A current organizational chart</w:t>
      </w:r>
      <w:r>
        <w:rPr>
          <w:rFonts w:cstheme="minorHAnsi"/>
        </w:rPr>
        <w:t xml:space="preserve">, as well as an organizational chart noting any proposed changes, </w:t>
      </w:r>
      <w:r w:rsidRPr="008D7C45">
        <w:rPr>
          <w:rFonts w:cstheme="minorHAnsi"/>
        </w:rPr>
        <w:t>should</w:t>
      </w:r>
      <w:r>
        <w:rPr>
          <w:rFonts w:cstheme="minorHAnsi"/>
        </w:rPr>
        <w:t xml:space="preserve"> also</w:t>
      </w:r>
      <w:r w:rsidRPr="008D7C45">
        <w:rPr>
          <w:rFonts w:cstheme="minorHAnsi"/>
        </w:rPr>
        <w:t xml:space="preserve"> be </w:t>
      </w:r>
      <w:r>
        <w:rPr>
          <w:rFonts w:cstheme="minorHAnsi"/>
        </w:rPr>
        <w:t>submitted</w:t>
      </w:r>
      <w:r w:rsidRPr="008D7C45">
        <w:rPr>
          <w:rFonts w:cstheme="minorHAnsi"/>
        </w:rPr>
        <w:t xml:space="preserve">. Please ensure that the organizational chart accounts for all FTEs on the </w:t>
      </w:r>
      <w:r>
        <w:rPr>
          <w:rFonts w:cstheme="minorHAnsi"/>
        </w:rPr>
        <w:t>Department</w:t>
      </w:r>
      <w:r w:rsidRPr="008D7C45">
        <w:rPr>
          <w:rFonts w:cstheme="minorHAnsi"/>
        </w:rPr>
        <w:t xml:space="preserve">’s </w:t>
      </w:r>
      <w:r>
        <w:rPr>
          <w:rFonts w:cstheme="minorHAnsi"/>
        </w:rPr>
        <w:t>P</w:t>
      </w:r>
      <w:r w:rsidRPr="008D7C45">
        <w:rPr>
          <w:rFonts w:cstheme="minorHAnsi"/>
        </w:rPr>
        <w:t>osition</w:t>
      </w:r>
      <w:r>
        <w:rPr>
          <w:rFonts w:cstheme="minorHAnsi"/>
        </w:rPr>
        <w:t>s tab</w:t>
      </w:r>
      <w:r w:rsidRPr="008D7C45">
        <w:rPr>
          <w:rFonts w:cstheme="minorHAnsi"/>
        </w:rPr>
        <w:t xml:space="preserve"> and is based on the organizational units within the SAP financial system. If there are security concerns about releasing the organizational chart, contact PBO to discuss the appropriate degree of detail to include. </w:t>
      </w:r>
      <w:r w:rsidRPr="008D25C2">
        <w:rPr>
          <w:rFonts w:cstheme="minorHAnsi"/>
        </w:rPr>
        <w:t xml:space="preserve">For questions regarding organizational units in SAP, contact the assigned Compensation Team Member in HRMD. </w:t>
      </w:r>
    </w:p>
    <w:p w14:paraId="700F4001" w14:textId="77777777" w:rsidR="00FB5FA6" w:rsidRDefault="00FB5FA6" w:rsidP="00FB5FA6">
      <w:pPr>
        <w:keepNext/>
      </w:pPr>
      <w:r w:rsidRPr="00105B9A">
        <w:rPr>
          <w:b/>
        </w:rPr>
        <w:t xml:space="preserve">Internal Reallocations of Budget: </w:t>
      </w:r>
      <w:r w:rsidRPr="00105B9A">
        <w:rPr>
          <w:bCs/>
        </w:rPr>
        <w:t xml:space="preserve">Describe any proposed </w:t>
      </w:r>
      <w:r w:rsidRPr="00105B9A">
        <w:t xml:space="preserve">internal reallocation of any existing resources. Reallocations must be fully budgeted within the FY 2025 Budget Workbook. PBO will review proposed internal reallocations to ensure that they meet the current requirements for existing services and programs. </w:t>
      </w:r>
      <w:r w:rsidRPr="00477369">
        <w:t>PBO will closely scrutinize the enhancement of existing programs or creation of new programs using internal resources, especially if the program lacks adequate performance measures. All planned cost-neutral budget reallocations or reorganization of personnel must be submitted to PBO by April 22, 2024. Any requested changes submitted after April 22 will be considered at the discretion of PBO.</w:t>
      </w:r>
    </w:p>
    <w:p w14:paraId="141761EC" w14:textId="77777777" w:rsidR="00FB5FA6" w:rsidRPr="00705C11" w:rsidRDefault="00FB5FA6" w:rsidP="00FB5FA6">
      <w:pPr>
        <w:keepNext/>
        <w:rPr>
          <w:rFonts w:cstheme="minorHAnsi"/>
          <w:b/>
          <w:bCs/>
        </w:rPr>
      </w:pPr>
      <w:r w:rsidRPr="009B1179">
        <w:rPr>
          <w:rFonts w:cstheme="minorHAnsi"/>
          <w:b/>
          <w:bCs/>
        </w:rPr>
        <w:t xml:space="preserve">Long-term Plans and Formal Studies: </w:t>
      </w:r>
      <w:r w:rsidRPr="009B1179">
        <w:rPr>
          <w:rFonts w:cstheme="minorHAnsi"/>
        </w:rPr>
        <w:t xml:space="preserve">Discuss any long-term plans or formal studies recently completed, underway or planned for the near-term in your </w:t>
      </w:r>
      <w:r>
        <w:rPr>
          <w:rFonts w:cstheme="minorHAnsi"/>
        </w:rPr>
        <w:t>Office</w:t>
      </w:r>
      <w:r w:rsidRPr="009B1179">
        <w:rPr>
          <w:rFonts w:cstheme="minorHAnsi"/>
        </w:rPr>
        <w:t xml:space="preserve"> or </w:t>
      </w:r>
      <w:r>
        <w:rPr>
          <w:rFonts w:cstheme="minorHAnsi"/>
        </w:rPr>
        <w:t>Department</w:t>
      </w:r>
      <w:r w:rsidRPr="009B1179">
        <w:rPr>
          <w:rFonts w:cstheme="minorHAnsi"/>
        </w:rPr>
        <w:t>.</w:t>
      </w:r>
      <w:r>
        <w:rPr>
          <w:rFonts w:cstheme="minorHAnsi"/>
        </w:rPr>
        <w:t xml:space="preserve"> Please share </w:t>
      </w:r>
      <w:r w:rsidRPr="008D7C45">
        <w:rPr>
          <w:rFonts w:cstheme="minorHAnsi"/>
        </w:rPr>
        <w:t xml:space="preserve">annual work plans </w:t>
      </w:r>
      <w:r>
        <w:rPr>
          <w:rFonts w:cstheme="minorHAnsi"/>
        </w:rPr>
        <w:t>and</w:t>
      </w:r>
      <w:r w:rsidRPr="008D7C45">
        <w:rPr>
          <w:rFonts w:cstheme="minorHAnsi"/>
        </w:rPr>
        <w:t xml:space="preserve"> priority areas of focus for the future.</w:t>
      </w:r>
      <w:r>
        <w:rPr>
          <w:rFonts w:cstheme="minorHAnsi"/>
        </w:rPr>
        <w:t xml:space="preserve"> </w:t>
      </w:r>
      <w:r w:rsidRPr="009B1179">
        <w:rPr>
          <w:rFonts w:cstheme="minorHAnsi"/>
        </w:rPr>
        <w:t xml:space="preserve"> Also be sure</w:t>
      </w:r>
      <w:r w:rsidRPr="007D0BAE">
        <w:rPr>
          <w:rFonts w:cstheme="minorHAnsi"/>
        </w:rPr>
        <w:t xml:space="preserve"> to note any external studies or assessments that will have future budgetary implications.</w:t>
      </w:r>
      <w:r>
        <w:rPr>
          <w:rFonts w:cstheme="minorHAnsi"/>
        </w:rPr>
        <w:t xml:space="preserve"> </w:t>
      </w:r>
    </w:p>
    <w:p w14:paraId="60146270" w14:textId="77777777" w:rsidR="00FB5FA6" w:rsidRPr="005A545C" w:rsidRDefault="00FB5FA6" w:rsidP="00FB5FA6">
      <w:pPr>
        <w:rPr>
          <w:rFonts w:cstheme="minorHAnsi"/>
        </w:rPr>
      </w:pPr>
      <w:r>
        <w:rPr>
          <w:rFonts w:cstheme="minorHAnsi"/>
          <w:b/>
          <w:bCs/>
        </w:rPr>
        <w:t xml:space="preserve">Proposed Changes: </w:t>
      </w:r>
      <w:r w:rsidRPr="00050199">
        <w:rPr>
          <w:rFonts w:cstheme="minorHAnsi"/>
        </w:rPr>
        <w:t xml:space="preserve">Proposed position changes such as Reclassifications, Internally Funded positions, Fund changes, Fund Center changes, and Career Ladders may require a </w:t>
      </w:r>
      <w:r>
        <w:rPr>
          <w:rFonts w:cstheme="minorHAnsi"/>
        </w:rPr>
        <w:t xml:space="preserve">memo with the </w:t>
      </w:r>
      <w:r w:rsidRPr="00050199">
        <w:rPr>
          <w:rFonts w:cstheme="minorHAnsi"/>
        </w:rPr>
        <w:t>justification</w:t>
      </w:r>
      <w:r>
        <w:rPr>
          <w:rFonts w:cstheme="minorHAnsi"/>
        </w:rPr>
        <w:t xml:space="preserve"> for the requested action </w:t>
      </w:r>
      <w:r w:rsidRPr="00050199">
        <w:rPr>
          <w:rFonts w:cstheme="minorHAnsi"/>
        </w:rPr>
        <w:t>, a PAQ (or draft job description for new jobs), a new organizational chart with the proposed changes, highlighting the change on the Positions tab in the</w:t>
      </w:r>
      <w:r>
        <w:rPr>
          <w:rFonts w:cstheme="minorHAnsi"/>
        </w:rPr>
        <w:t xml:space="preserve"> Budget </w:t>
      </w:r>
      <w:r w:rsidRPr="00050199">
        <w:rPr>
          <w:rFonts w:cstheme="minorHAnsi"/>
        </w:rPr>
        <w:t>workbook, or noting the change in the Proposed Position Changes</w:t>
      </w:r>
      <w:r>
        <w:rPr>
          <w:rFonts w:cstheme="minorHAnsi"/>
        </w:rPr>
        <w:t xml:space="preserve"> List</w:t>
      </w:r>
      <w:r w:rsidRPr="00050199">
        <w:rPr>
          <w:rFonts w:cstheme="minorHAnsi"/>
        </w:rPr>
        <w:t xml:space="preserve"> tab in the</w:t>
      </w:r>
      <w:r>
        <w:rPr>
          <w:rFonts w:cstheme="minorHAnsi"/>
        </w:rPr>
        <w:t xml:space="preserve"> Budget </w:t>
      </w:r>
      <w:r w:rsidRPr="00050199">
        <w:rPr>
          <w:rFonts w:cstheme="minorHAnsi"/>
        </w:rPr>
        <w:t>workbook. Please see the table below for further guidance on what is required for each proposed action.</w:t>
      </w:r>
    </w:p>
    <w:tbl>
      <w:tblPr>
        <w:tblW w:w="9337" w:type="dxa"/>
        <w:tblLayout w:type="fixed"/>
        <w:tblLook w:val="04A0" w:firstRow="1" w:lastRow="0" w:firstColumn="1" w:lastColumn="0" w:noHBand="0" w:noVBand="1"/>
      </w:tblPr>
      <w:tblGrid>
        <w:gridCol w:w="1709"/>
        <w:gridCol w:w="1101"/>
        <w:gridCol w:w="1490"/>
        <w:gridCol w:w="1490"/>
        <w:gridCol w:w="1822"/>
        <w:gridCol w:w="1725"/>
      </w:tblGrid>
      <w:tr w:rsidR="00FB5FA6" w14:paraId="71DE438D" w14:textId="77777777" w:rsidTr="00116374">
        <w:trPr>
          <w:trHeight w:val="1007"/>
        </w:trPr>
        <w:tc>
          <w:tcPr>
            <w:tcW w:w="17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115C60" w14:textId="77777777" w:rsidR="00FB5FA6" w:rsidRPr="00171F2A" w:rsidRDefault="00FB5FA6" w:rsidP="00FD79C1">
            <w:pPr>
              <w:jc w:val="center"/>
              <w:rPr>
                <w:rStyle w:val="SubtleEmphasis"/>
              </w:rPr>
            </w:pPr>
            <w:bookmarkStart w:id="7" w:name="_Hlk160190137"/>
            <w:r w:rsidRPr="00171F2A">
              <w:rPr>
                <w:rStyle w:val="SubtleEmphasis"/>
              </w:rPr>
              <w:t> If you have the following:</w:t>
            </w:r>
          </w:p>
        </w:tc>
        <w:tc>
          <w:tcPr>
            <w:tcW w:w="110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A1181C0" w14:textId="77777777" w:rsidR="00FB5FA6" w:rsidRPr="00171F2A" w:rsidRDefault="00FB5FA6" w:rsidP="00FD79C1">
            <w:pPr>
              <w:jc w:val="center"/>
              <w:rPr>
                <w:rStyle w:val="SubtleEmphasis"/>
                <w:b/>
              </w:rPr>
            </w:pPr>
            <w:r w:rsidRPr="00171F2A">
              <w:rPr>
                <w:rStyle w:val="SubtleEmphasis"/>
                <w:b/>
              </w:rPr>
              <w:t>Memo to PBO and HRMD*</w:t>
            </w:r>
          </w:p>
        </w:tc>
        <w:tc>
          <w:tcPr>
            <w:tcW w:w="149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0CAB8968" w14:textId="77777777" w:rsidR="00FB5FA6" w:rsidRPr="00171F2A" w:rsidRDefault="00FB5FA6" w:rsidP="00FD79C1">
            <w:pPr>
              <w:jc w:val="center"/>
              <w:rPr>
                <w:rStyle w:val="SubtleEmphasis"/>
                <w:b/>
              </w:rPr>
            </w:pPr>
            <w:r w:rsidRPr="00171F2A">
              <w:rPr>
                <w:rStyle w:val="SubtleEmphasis"/>
                <w:b/>
              </w:rPr>
              <w:t xml:space="preserve">PAQ (or draft job description for new </w:t>
            </w:r>
            <w:proofErr w:type="gramStart"/>
            <w:r w:rsidRPr="00171F2A">
              <w:rPr>
                <w:rStyle w:val="SubtleEmphasis"/>
                <w:b/>
              </w:rPr>
              <w:t>jobs)*</w:t>
            </w:r>
            <w:proofErr w:type="gramEnd"/>
          </w:p>
        </w:tc>
        <w:tc>
          <w:tcPr>
            <w:tcW w:w="149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BC30890" w14:textId="77777777" w:rsidR="00FB5FA6" w:rsidRPr="00171F2A" w:rsidRDefault="00FB5FA6" w:rsidP="00FD79C1">
            <w:pPr>
              <w:jc w:val="center"/>
              <w:rPr>
                <w:rStyle w:val="SubtleEmphasis"/>
                <w:b/>
              </w:rPr>
            </w:pPr>
            <w:r w:rsidRPr="00171F2A">
              <w:rPr>
                <w:rStyle w:val="SubtleEmphasis"/>
                <w:b/>
              </w:rPr>
              <w:t>New Org Chart w/Proposed Changes*</w:t>
            </w:r>
          </w:p>
        </w:tc>
        <w:tc>
          <w:tcPr>
            <w:tcW w:w="182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42C5579" w14:textId="77777777" w:rsidR="00FB5FA6" w:rsidRPr="00171F2A" w:rsidRDefault="00FB5FA6" w:rsidP="00FD79C1">
            <w:pPr>
              <w:jc w:val="center"/>
              <w:rPr>
                <w:rStyle w:val="SubtleEmphasis"/>
              </w:rPr>
            </w:pPr>
            <w:r w:rsidRPr="00171F2A">
              <w:rPr>
                <w:rStyle w:val="SubtleEmphasis"/>
              </w:rPr>
              <w:t>Proposed Changes highlighted in Position</w:t>
            </w:r>
            <w:r>
              <w:rPr>
                <w:rStyle w:val="SubtleEmphasis"/>
              </w:rPr>
              <w:t>s</w:t>
            </w:r>
            <w:r w:rsidRPr="00171F2A">
              <w:rPr>
                <w:rStyle w:val="SubtleEmphasis"/>
              </w:rPr>
              <w:t xml:space="preserve"> </w:t>
            </w:r>
            <w:r>
              <w:rPr>
                <w:rStyle w:val="SubtleEmphasis"/>
              </w:rPr>
              <w:t>t</w:t>
            </w:r>
            <w:r w:rsidRPr="00171F2A">
              <w:rPr>
                <w:rStyle w:val="SubtleEmphasis"/>
              </w:rPr>
              <w:t>ab in Workbook</w:t>
            </w:r>
          </w:p>
        </w:tc>
        <w:tc>
          <w:tcPr>
            <w:tcW w:w="172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3D80900" w14:textId="77777777" w:rsidR="00FB5FA6" w:rsidRPr="00171F2A" w:rsidRDefault="00FB5FA6" w:rsidP="00FD79C1">
            <w:pPr>
              <w:jc w:val="center"/>
              <w:rPr>
                <w:rStyle w:val="SubtleEmphasis"/>
              </w:rPr>
            </w:pPr>
            <w:r w:rsidRPr="00171F2A">
              <w:rPr>
                <w:rStyle w:val="SubtleEmphasis"/>
              </w:rPr>
              <w:t xml:space="preserve">Proposed </w:t>
            </w:r>
            <w:r>
              <w:rPr>
                <w:rStyle w:val="SubtleEmphasis"/>
              </w:rPr>
              <w:t>C</w:t>
            </w:r>
            <w:r w:rsidRPr="00171F2A">
              <w:rPr>
                <w:rStyle w:val="SubtleEmphasis"/>
              </w:rPr>
              <w:t>hanges included</w:t>
            </w:r>
            <w:r>
              <w:rPr>
                <w:rStyle w:val="SubtleEmphasis"/>
              </w:rPr>
              <w:t xml:space="preserve"> in</w:t>
            </w:r>
            <w:r w:rsidRPr="00171F2A">
              <w:rPr>
                <w:rStyle w:val="SubtleEmphasis"/>
              </w:rPr>
              <w:t xml:space="preserve"> </w:t>
            </w:r>
            <w:r>
              <w:rPr>
                <w:rStyle w:val="SubtleEmphasis"/>
              </w:rPr>
              <w:t xml:space="preserve">Proposed </w:t>
            </w:r>
            <w:r w:rsidRPr="00171F2A">
              <w:rPr>
                <w:rStyle w:val="SubtleEmphasis"/>
              </w:rPr>
              <w:t xml:space="preserve">Position </w:t>
            </w:r>
            <w:r>
              <w:rPr>
                <w:rStyle w:val="SubtleEmphasis"/>
              </w:rPr>
              <w:t xml:space="preserve">Changes </w:t>
            </w:r>
            <w:r w:rsidRPr="00171F2A">
              <w:rPr>
                <w:rStyle w:val="SubtleEmphasis"/>
              </w:rPr>
              <w:t xml:space="preserve">List </w:t>
            </w:r>
            <w:r>
              <w:rPr>
                <w:rStyle w:val="SubtleEmphasis"/>
              </w:rPr>
              <w:t>t</w:t>
            </w:r>
            <w:r w:rsidRPr="00171F2A">
              <w:rPr>
                <w:rStyle w:val="SubtleEmphasis"/>
              </w:rPr>
              <w:t>ab in Workbook</w:t>
            </w:r>
          </w:p>
        </w:tc>
      </w:tr>
      <w:tr w:rsidR="00FB5FA6" w14:paraId="083FDE3F" w14:textId="77777777" w:rsidTr="00116374">
        <w:trPr>
          <w:trHeight w:val="64"/>
        </w:trPr>
        <w:tc>
          <w:tcPr>
            <w:tcW w:w="17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D27068" w14:textId="77777777" w:rsidR="00FB5FA6" w:rsidRPr="002E5E98" w:rsidRDefault="00FB5FA6" w:rsidP="00FD79C1">
            <w:pPr>
              <w:pStyle w:val="NoSpacing"/>
            </w:pPr>
            <w:r w:rsidRPr="002E5E98">
              <w:t>Reclasses</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14:paraId="022F2D1D" w14:textId="77777777" w:rsidR="00FB5FA6" w:rsidRDefault="00FB5FA6" w:rsidP="00FD79C1">
            <w:pPr>
              <w:pStyle w:val="NoSpacing"/>
              <w:jc w:val="center"/>
              <w:rPr>
                <w:rFonts w:ascii="Calibri" w:hAnsi="Calibri"/>
              </w:rPr>
            </w:pPr>
            <w:r>
              <w:rPr>
                <w:rFonts w:ascii="Calibri" w:hAnsi="Calibri"/>
              </w:rPr>
              <w:t>X</w:t>
            </w:r>
          </w:p>
        </w:tc>
        <w:tc>
          <w:tcPr>
            <w:tcW w:w="1490" w:type="dxa"/>
            <w:tcBorders>
              <w:top w:val="nil"/>
              <w:left w:val="nil"/>
              <w:bottom w:val="single" w:sz="4" w:space="0" w:color="auto"/>
              <w:right w:val="single" w:sz="4" w:space="0" w:color="auto"/>
            </w:tcBorders>
            <w:shd w:val="clear" w:color="auto" w:fill="FFFFFF" w:themeFill="background1"/>
            <w:noWrap/>
            <w:vAlign w:val="bottom"/>
            <w:hideMark/>
          </w:tcPr>
          <w:p w14:paraId="66E2513A" w14:textId="77777777" w:rsidR="00FB5FA6" w:rsidRDefault="00FB5FA6" w:rsidP="00FD79C1">
            <w:pPr>
              <w:pStyle w:val="NoSpacing"/>
              <w:jc w:val="center"/>
              <w:rPr>
                <w:rFonts w:ascii="Calibri" w:hAnsi="Calibri"/>
              </w:rPr>
            </w:pPr>
            <w:r>
              <w:rPr>
                <w:rFonts w:ascii="Calibri" w:hAnsi="Calibri"/>
              </w:rPr>
              <w:t>X</w:t>
            </w:r>
          </w:p>
        </w:tc>
        <w:tc>
          <w:tcPr>
            <w:tcW w:w="1490" w:type="dxa"/>
            <w:tcBorders>
              <w:top w:val="nil"/>
              <w:left w:val="nil"/>
              <w:bottom w:val="single" w:sz="4" w:space="0" w:color="auto"/>
              <w:right w:val="single" w:sz="4" w:space="0" w:color="auto"/>
            </w:tcBorders>
            <w:shd w:val="clear" w:color="auto" w:fill="FFFFFF" w:themeFill="background1"/>
            <w:noWrap/>
            <w:vAlign w:val="bottom"/>
            <w:hideMark/>
          </w:tcPr>
          <w:p w14:paraId="135317E9" w14:textId="77777777" w:rsidR="00FB5FA6" w:rsidRDefault="00FB5FA6" w:rsidP="00FD79C1">
            <w:pPr>
              <w:pStyle w:val="NoSpacing"/>
              <w:jc w:val="center"/>
              <w:rPr>
                <w:rFonts w:ascii="Calibri" w:hAnsi="Calibri"/>
              </w:rPr>
            </w:pPr>
            <w:r>
              <w:rPr>
                <w:rFonts w:ascii="Calibri" w:hAnsi="Calibri"/>
              </w:rPr>
              <w:t>X</w:t>
            </w:r>
          </w:p>
        </w:tc>
        <w:tc>
          <w:tcPr>
            <w:tcW w:w="1822" w:type="dxa"/>
            <w:tcBorders>
              <w:top w:val="nil"/>
              <w:left w:val="nil"/>
              <w:bottom w:val="single" w:sz="4" w:space="0" w:color="auto"/>
              <w:right w:val="single" w:sz="4" w:space="0" w:color="auto"/>
            </w:tcBorders>
            <w:shd w:val="clear" w:color="auto" w:fill="FFFFFF" w:themeFill="background1"/>
            <w:noWrap/>
            <w:vAlign w:val="bottom"/>
            <w:hideMark/>
          </w:tcPr>
          <w:p w14:paraId="75C8F718" w14:textId="77777777" w:rsidR="00FB5FA6" w:rsidRDefault="00FB5FA6" w:rsidP="00FD79C1">
            <w:pPr>
              <w:pStyle w:val="NoSpacing"/>
              <w:jc w:val="center"/>
              <w:rPr>
                <w:rFonts w:ascii="Calibri" w:hAnsi="Calibri"/>
              </w:rPr>
            </w:pPr>
            <w:r>
              <w:rPr>
                <w:rFonts w:ascii="Calibri" w:hAnsi="Calibri"/>
              </w:rPr>
              <w:t>X</w:t>
            </w:r>
          </w:p>
        </w:tc>
        <w:tc>
          <w:tcPr>
            <w:tcW w:w="1725" w:type="dxa"/>
            <w:tcBorders>
              <w:top w:val="nil"/>
              <w:left w:val="nil"/>
              <w:bottom w:val="single" w:sz="4" w:space="0" w:color="auto"/>
              <w:right w:val="single" w:sz="4" w:space="0" w:color="auto"/>
            </w:tcBorders>
            <w:shd w:val="clear" w:color="auto" w:fill="FFFFFF" w:themeFill="background1"/>
            <w:noWrap/>
            <w:vAlign w:val="bottom"/>
            <w:hideMark/>
          </w:tcPr>
          <w:p w14:paraId="39BC4F6D" w14:textId="77777777" w:rsidR="00FB5FA6" w:rsidRDefault="00FB5FA6" w:rsidP="00FD79C1">
            <w:pPr>
              <w:pStyle w:val="NoSpacing"/>
              <w:jc w:val="center"/>
              <w:rPr>
                <w:rFonts w:ascii="Calibri" w:hAnsi="Calibri"/>
              </w:rPr>
            </w:pPr>
            <w:r>
              <w:rPr>
                <w:rFonts w:ascii="Calibri" w:hAnsi="Calibri"/>
              </w:rPr>
              <w:t>X</w:t>
            </w:r>
          </w:p>
        </w:tc>
      </w:tr>
      <w:tr w:rsidR="00FB5FA6" w14:paraId="7AA07CF9" w14:textId="77777777" w:rsidTr="00116374">
        <w:trPr>
          <w:trHeight w:val="64"/>
        </w:trPr>
        <w:tc>
          <w:tcPr>
            <w:tcW w:w="17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3DBB9B" w14:textId="77777777" w:rsidR="00FB5FA6" w:rsidRPr="002E5E98" w:rsidRDefault="00FB5FA6" w:rsidP="00FD79C1">
            <w:pPr>
              <w:pStyle w:val="NoSpacing"/>
            </w:pPr>
            <w:r w:rsidRPr="002E5E98">
              <w:t>Internally Funded</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14:paraId="7C52DCEE" w14:textId="77777777" w:rsidR="00FB5FA6" w:rsidRDefault="00FB5FA6" w:rsidP="00FD79C1">
            <w:pPr>
              <w:pStyle w:val="NoSpacing"/>
              <w:jc w:val="center"/>
              <w:rPr>
                <w:rFonts w:ascii="Calibri" w:hAnsi="Calibri"/>
              </w:rPr>
            </w:pPr>
            <w:r>
              <w:rPr>
                <w:rFonts w:ascii="Calibri" w:hAnsi="Calibri"/>
              </w:rPr>
              <w:t>X</w:t>
            </w:r>
          </w:p>
        </w:tc>
        <w:tc>
          <w:tcPr>
            <w:tcW w:w="1490" w:type="dxa"/>
            <w:tcBorders>
              <w:top w:val="nil"/>
              <w:left w:val="nil"/>
              <w:bottom w:val="single" w:sz="4" w:space="0" w:color="auto"/>
              <w:right w:val="single" w:sz="4" w:space="0" w:color="auto"/>
            </w:tcBorders>
            <w:shd w:val="clear" w:color="auto" w:fill="FFFFFF" w:themeFill="background1"/>
            <w:noWrap/>
            <w:vAlign w:val="bottom"/>
            <w:hideMark/>
          </w:tcPr>
          <w:p w14:paraId="11F29C70" w14:textId="77777777" w:rsidR="00FB5FA6" w:rsidRDefault="00FB5FA6" w:rsidP="00FD79C1">
            <w:pPr>
              <w:pStyle w:val="NoSpacing"/>
              <w:jc w:val="center"/>
              <w:rPr>
                <w:rFonts w:ascii="Calibri" w:hAnsi="Calibri"/>
              </w:rPr>
            </w:pPr>
            <w:r>
              <w:rPr>
                <w:rFonts w:ascii="Calibri" w:hAnsi="Calibri"/>
              </w:rPr>
              <w:t>X</w:t>
            </w:r>
          </w:p>
        </w:tc>
        <w:tc>
          <w:tcPr>
            <w:tcW w:w="1490" w:type="dxa"/>
            <w:tcBorders>
              <w:top w:val="nil"/>
              <w:left w:val="nil"/>
              <w:bottom w:val="single" w:sz="4" w:space="0" w:color="auto"/>
              <w:right w:val="single" w:sz="4" w:space="0" w:color="auto"/>
            </w:tcBorders>
            <w:shd w:val="clear" w:color="auto" w:fill="FFFFFF" w:themeFill="background1"/>
            <w:noWrap/>
            <w:vAlign w:val="bottom"/>
            <w:hideMark/>
          </w:tcPr>
          <w:p w14:paraId="23681F79" w14:textId="77777777" w:rsidR="00FB5FA6" w:rsidRDefault="00FB5FA6" w:rsidP="00FD79C1">
            <w:pPr>
              <w:pStyle w:val="NoSpacing"/>
              <w:jc w:val="center"/>
              <w:rPr>
                <w:rFonts w:ascii="Calibri" w:hAnsi="Calibri"/>
              </w:rPr>
            </w:pPr>
            <w:r>
              <w:rPr>
                <w:rFonts w:ascii="Calibri" w:hAnsi="Calibri"/>
              </w:rPr>
              <w:t>X</w:t>
            </w:r>
          </w:p>
        </w:tc>
        <w:tc>
          <w:tcPr>
            <w:tcW w:w="1822" w:type="dxa"/>
            <w:tcBorders>
              <w:top w:val="nil"/>
              <w:left w:val="nil"/>
              <w:bottom w:val="single" w:sz="4" w:space="0" w:color="auto"/>
              <w:right w:val="single" w:sz="4" w:space="0" w:color="auto"/>
            </w:tcBorders>
            <w:shd w:val="clear" w:color="auto" w:fill="FFFFFF" w:themeFill="background1"/>
            <w:noWrap/>
            <w:vAlign w:val="bottom"/>
            <w:hideMark/>
          </w:tcPr>
          <w:p w14:paraId="6C8C33EE" w14:textId="77777777" w:rsidR="00FB5FA6" w:rsidRDefault="00FB5FA6" w:rsidP="00FD79C1">
            <w:pPr>
              <w:pStyle w:val="NoSpacing"/>
              <w:jc w:val="center"/>
              <w:rPr>
                <w:rFonts w:ascii="Calibri" w:hAnsi="Calibri"/>
              </w:rPr>
            </w:pPr>
            <w:r>
              <w:rPr>
                <w:rFonts w:ascii="Calibri" w:hAnsi="Calibri"/>
              </w:rPr>
              <w:t>X</w:t>
            </w:r>
          </w:p>
        </w:tc>
        <w:tc>
          <w:tcPr>
            <w:tcW w:w="1725" w:type="dxa"/>
            <w:tcBorders>
              <w:top w:val="nil"/>
              <w:left w:val="nil"/>
              <w:bottom w:val="single" w:sz="4" w:space="0" w:color="auto"/>
              <w:right w:val="single" w:sz="4" w:space="0" w:color="auto"/>
            </w:tcBorders>
            <w:shd w:val="clear" w:color="auto" w:fill="FFFFFF" w:themeFill="background1"/>
            <w:noWrap/>
            <w:vAlign w:val="bottom"/>
            <w:hideMark/>
          </w:tcPr>
          <w:p w14:paraId="59B11C88" w14:textId="77777777" w:rsidR="00FB5FA6" w:rsidRDefault="00FB5FA6" w:rsidP="00FD79C1">
            <w:pPr>
              <w:pStyle w:val="NoSpacing"/>
              <w:jc w:val="center"/>
              <w:rPr>
                <w:rFonts w:ascii="Calibri" w:hAnsi="Calibri"/>
              </w:rPr>
            </w:pPr>
            <w:r>
              <w:rPr>
                <w:rFonts w:ascii="Calibri" w:hAnsi="Calibri"/>
              </w:rPr>
              <w:t>X</w:t>
            </w:r>
          </w:p>
        </w:tc>
      </w:tr>
      <w:tr w:rsidR="00FB5FA6" w14:paraId="2DD7D1A5" w14:textId="77777777" w:rsidTr="00116374">
        <w:trPr>
          <w:trHeight w:val="190"/>
        </w:trPr>
        <w:tc>
          <w:tcPr>
            <w:tcW w:w="17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7480D" w14:textId="77777777" w:rsidR="00FB5FA6" w:rsidRPr="002E5E98" w:rsidRDefault="00FB5FA6" w:rsidP="00FD79C1">
            <w:pPr>
              <w:pStyle w:val="NoSpacing"/>
            </w:pPr>
            <w:r w:rsidRPr="002E5E98">
              <w:t>Fund Changes</w:t>
            </w:r>
          </w:p>
        </w:tc>
        <w:tc>
          <w:tcPr>
            <w:tcW w:w="1101" w:type="dxa"/>
            <w:tcBorders>
              <w:top w:val="nil"/>
              <w:left w:val="nil"/>
              <w:bottom w:val="single" w:sz="4" w:space="0" w:color="auto"/>
              <w:right w:val="single" w:sz="4" w:space="0" w:color="auto"/>
            </w:tcBorders>
            <w:shd w:val="clear" w:color="auto" w:fill="FFFFFF" w:themeFill="background1"/>
            <w:noWrap/>
            <w:vAlign w:val="bottom"/>
            <w:hideMark/>
          </w:tcPr>
          <w:p w14:paraId="38C414A2" w14:textId="77777777" w:rsidR="00FB5FA6" w:rsidRDefault="00FB5FA6" w:rsidP="00FD79C1">
            <w:pPr>
              <w:pStyle w:val="NoSpacing"/>
              <w:jc w:val="center"/>
              <w:rPr>
                <w:rFonts w:ascii="Calibri" w:hAnsi="Calibri"/>
              </w:rPr>
            </w:pPr>
          </w:p>
        </w:tc>
        <w:tc>
          <w:tcPr>
            <w:tcW w:w="1490" w:type="dxa"/>
            <w:tcBorders>
              <w:top w:val="nil"/>
              <w:left w:val="nil"/>
              <w:bottom w:val="single" w:sz="4" w:space="0" w:color="auto"/>
              <w:right w:val="single" w:sz="4" w:space="0" w:color="auto"/>
            </w:tcBorders>
            <w:shd w:val="clear" w:color="auto" w:fill="FFFFFF" w:themeFill="background1"/>
            <w:noWrap/>
            <w:vAlign w:val="bottom"/>
            <w:hideMark/>
          </w:tcPr>
          <w:p w14:paraId="555852B5" w14:textId="77777777" w:rsidR="00FB5FA6" w:rsidRDefault="00FB5FA6" w:rsidP="00FD79C1">
            <w:pPr>
              <w:pStyle w:val="NoSpacing"/>
              <w:jc w:val="center"/>
              <w:rPr>
                <w:rFonts w:ascii="Calibri" w:hAnsi="Calibri"/>
              </w:rPr>
            </w:pPr>
          </w:p>
        </w:tc>
        <w:tc>
          <w:tcPr>
            <w:tcW w:w="1490" w:type="dxa"/>
            <w:tcBorders>
              <w:top w:val="nil"/>
              <w:left w:val="nil"/>
              <w:bottom w:val="single" w:sz="4" w:space="0" w:color="auto"/>
              <w:right w:val="single" w:sz="4" w:space="0" w:color="auto"/>
            </w:tcBorders>
            <w:shd w:val="clear" w:color="auto" w:fill="FFFFFF" w:themeFill="background1"/>
            <w:noWrap/>
            <w:vAlign w:val="bottom"/>
            <w:hideMark/>
          </w:tcPr>
          <w:p w14:paraId="3869CB03" w14:textId="77777777" w:rsidR="00FB5FA6" w:rsidRDefault="00FB5FA6" w:rsidP="00FD79C1">
            <w:pPr>
              <w:pStyle w:val="NoSpacing"/>
              <w:jc w:val="center"/>
              <w:rPr>
                <w:rFonts w:ascii="Calibri" w:hAnsi="Calibri"/>
              </w:rPr>
            </w:pPr>
            <w:r>
              <w:rPr>
                <w:rFonts w:ascii="Calibri" w:hAnsi="Calibri"/>
              </w:rPr>
              <w:t>X</w:t>
            </w:r>
          </w:p>
        </w:tc>
        <w:tc>
          <w:tcPr>
            <w:tcW w:w="1822" w:type="dxa"/>
            <w:tcBorders>
              <w:top w:val="nil"/>
              <w:left w:val="nil"/>
              <w:bottom w:val="single" w:sz="4" w:space="0" w:color="auto"/>
              <w:right w:val="single" w:sz="4" w:space="0" w:color="auto"/>
            </w:tcBorders>
            <w:shd w:val="clear" w:color="auto" w:fill="FFFFFF" w:themeFill="background1"/>
            <w:noWrap/>
            <w:vAlign w:val="bottom"/>
            <w:hideMark/>
          </w:tcPr>
          <w:p w14:paraId="4D9E0316" w14:textId="77777777" w:rsidR="00FB5FA6" w:rsidRDefault="00FB5FA6" w:rsidP="00FD79C1">
            <w:pPr>
              <w:pStyle w:val="NoSpacing"/>
              <w:jc w:val="center"/>
              <w:rPr>
                <w:rFonts w:ascii="Calibri" w:hAnsi="Calibri"/>
              </w:rPr>
            </w:pPr>
            <w:r>
              <w:rPr>
                <w:rFonts w:ascii="Calibri" w:hAnsi="Calibri"/>
              </w:rPr>
              <w:t>X</w:t>
            </w:r>
          </w:p>
        </w:tc>
        <w:tc>
          <w:tcPr>
            <w:tcW w:w="1725" w:type="dxa"/>
            <w:tcBorders>
              <w:top w:val="nil"/>
              <w:left w:val="nil"/>
              <w:bottom w:val="single" w:sz="4" w:space="0" w:color="auto"/>
              <w:right w:val="single" w:sz="4" w:space="0" w:color="auto"/>
            </w:tcBorders>
            <w:shd w:val="clear" w:color="auto" w:fill="FFFFFF" w:themeFill="background1"/>
            <w:noWrap/>
            <w:vAlign w:val="bottom"/>
            <w:hideMark/>
          </w:tcPr>
          <w:p w14:paraId="41E94A65" w14:textId="77777777" w:rsidR="00FB5FA6" w:rsidRDefault="00FB5FA6" w:rsidP="00FD79C1">
            <w:pPr>
              <w:pStyle w:val="NoSpacing"/>
              <w:jc w:val="center"/>
              <w:rPr>
                <w:rFonts w:ascii="Calibri" w:hAnsi="Calibri"/>
              </w:rPr>
            </w:pPr>
            <w:r>
              <w:rPr>
                <w:rFonts w:ascii="Calibri" w:hAnsi="Calibri"/>
              </w:rPr>
              <w:t>X</w:t>
            </w:r>
          </w:p>
        </w:tc>
      </w:tr>
      <w:tr w:rsidR="00FB5FA6" w14:paraId="460FA1D4" w14:textId="77777777" w:rsidTr="00116374">
        <w:trPr>
          <w:trHeight w:val="41"/>
        </w:trPr>
        <w:tc>
          <w:tcPr>
            <w:tcW w:w="1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926F52" w14:textId="77777777" w:rsidR="00FB5FA6" w:rsidRPr="002E5E98" w:rsidRDefault="00FB5FA6" w:rsidP="00FD79C1">
            <w:pPr>
              <w:pStyle w:val="NoSpacing"/>
            </w:pPr>
            <w:r>
              <w:t>FC Changes</w:t>
            </w:r>
          </w:p>
        </w:tc>
        <w:tc>
          <w:tcPr>
            <w:tcW w:w="1101" w:type="dxa"/>
            <w:tcBorders>
              <w:top w:val="single" w:sz="4" w:space="0" w:color="auto"/>
              <w:left w:val="nil"/>
              <w:bottom w:val="single" w:sz="4" w:space="0" w:color="auto"/>
              <w:right w:val="single" w:sz="4" w:space="0" w:color="auto"/>
            </w:tcBorders>
            <w:shd w:val="clear" w:color="auto" w:fill="FFFFFF" w:themeFill="background1"/>
            <w:noWrap/>
            <w:vAlign w:val="bottom"/>
          </w:tcPr>
          <w:p w14:paraId="4BC58876" w14:textId="77777777" w:rsidR="00FB5FA6" w:rsidRDefault="00FB5FA6" w:rsidP="00FD79C1">
            <w:pPr>
              <w:pStyle w:val="NoSpacing"/>
              <w:jc w:val="center"/>
              <w:rPr>
                <w:rFonts w:ascii="Calibri" w:hAnsi="Calibri"/>
              </w:rPr>
            </w:pPr>
          </w:p>
        </w:tc>
        <w:tc>
          <w:tcPr>
            <w:tcW w:w="1490" w:type="dxa"/>
            <w:tcBorders>
              <w:top w:val="single" w:sz="4" w:space="0" w:color="auto"/>
              <w:left w:val="nil"/>
              <w:bottom w:val="single" w:sz="4" w:space="0" w:color="auto"/>
              <w:right w:val="single" w:sz="4" w:space="0" w:color="auto"/>
            </w:tcBorders>
            <w:shd w:val="clear" w:color="auto" w:fill="FFFFFF" w:themeFill="background1"/>
            <w:noWrap/>
            <w:vAlign w:val="bottom"/>
          </w:tcPr>
          <w:p w14:paraId="7410F161" w14:textId="77777777" w:rsidR="00FB5FA6" w:rsidRDefault="00FB5FA6" w:rsidP="00FD79C1">
            <w:pPr>
              <w:pStyle w:val="NoSpacing"/>
              <w:jc w:val="center"/>
              <w:rPr>
                <w:rFonts w:ascii="Calibri" w:hAnsi="Calibri"/>
              </w:rPr>
            </w:pPr>
          </w:p>
        </w:tc>
        <w:tc>
          <w:tcPr>
            <w:tcW w:w="1490" w:type="dxa"/>
            <w:tcBorders>
              <w:top w:val="single" w:sz="4" w:space="0" w:color="auto"/>
              <w:left w:val="nil"/>
              <w:bottom w:val="single" w:sz="4" w:space="0" w:color="auto"/>
              <w:right w:val="single" w:sz="4" w:space="0" w:color="auto"/>
            </w:tcBorders>
            <w:shd w:val="clear" w:color="auto" w:fill="FFFFFF" w:themeFill="background1"/>
            <w:noWrap/>
            <w:vAlign w:val="bottom"/>
          </w:tcPr>
          <w:p w14:paraId="49090043" w14:textId="77777777" w:rsidR="00FB5FA6" w:rsidRDefault="00FB5FA6" w:rsidP="00FD79C1">
            <w:pPr>
              <w:pStyle w:val="NoSpacing"/>
              <w:jc w:val="center"/>
              <w:rPr>
                <w:rFonts w:ascii="Calibri" w:hAnsi="Calibri"/>
              </w:rPr>
            </w:pPr>
            <w:r>
              <w:rPr>
                <w:rFonts w:ascii="Calibri" w:hAnsi="Calibri"/>
              </w:rPr>
              <w:t>X</w:t>
            </w:r>
          </w:p>
        </w:tc>
        <w:tc>
          <w:tcPr>
            <w:tcW w:w="1822" w:type="dxa"/>
            <w:tcBorders>
              <w:top w:val="single" w:sz="4" w:space="0" w:color="auto"/>
              <w:left w:val="nil"/>
              <w:bottom w:val="single" w:sz="4" w:space="0" w:color="auto"/>
              <w:right w:val="single" w:sz="4" w:space="0" w:color="auto"/>
            </w:tcBorders>
            <w:shd w:val="clear" w:color="auto" w:fill="FFFFFF" w:themeFill="background1"/>
            <w:noWrap/>
            <w:vAlign w:val="bottom"/>
          </w:tcPr>
          <w:p w14:paraId="795BE513" w14:textId="77777777" w:rsidR="00FB5FA6" w:rsidRDefault="00FB5FA6" w:rsidP="00FD79C1">
            <w:pPr>
              <w:pStyle w:val="NoSpacing"/>
              <w:jc w:val="center"/>
              <w:rPr>
                <w:rFonts w:ascii="Calibri" w:hAnsi="Calibri"/>
              </w:rPr>
            </w:pPr>
            <w:r>
              <w:rPr>
                <w:rFonts w:ascii="Calibri" w:hAnsi="Calibri"/>
              </w:rPr>
              <w:t>X</w:t>
            </w:r>
          </w:p>
        </w:tc>
        <w:tc>
          <w:tcPr>
            <w:tcW w:w="1725" w:type="dxa"/>
            <w:tcBorders>
              <w:top w:val="single" w:sz="4" w:space="0" w:color="auto"/>
              <w:left w:val="nil"/>
              <w:bottom w:val="single" w:sz="4" w:space="0" w:color="auto"/>
              <w:right w:val="single" w:sz="4" w:space="0" w:color="auto"/>
            </w:tcBorders>
            <w:shd w:val="clear" w:color="auto" w:fill="FFFFFF" w:themeFill="background1"/>
            <w:noWrap/>
            <w:vAlign w:val="bottom"/>
          </w:tcPr>
          <w:p w14:paraId="557008D4" w14:textId="77777777" w:rsidR="00FB5FA6" w:rsidRDefault="00FB5FA6" w:rsidP="00FD79C1">
            <w:pPr>
              <w:pStyle w:val="NoSpacing"/>
              <w:jc w:val="center"/>
              <w:rPr>
                <w:rFonts w:ascii="Calibri" w:hAnsi="Calibri"/>
              </w:rPr>
            </w:pPr>
            <w:r>
              <w:rPr>
                <w:rFonts w:ascii="Calibri" w:hAnsi="Calibri"/>
              </w:rPr>
              <w:t>X</w:t>
            </w:r>
          </w:p>
        </w:tc>
      </w:tr>
      <w:tr w:rsidR="00FB5FA6" w14:paraId="725EFEAF" w14:textId="77777777" w:rsidTr="00116374">
        <w:trPr>
          <w:trHeight w:val="41"/>
        </w:trPr>
        <w:tc>
          <w:tcPr>
            <w:tcW w:w="1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C022AC" w14:textId="77777777" w:rsidR="00FB5FA6" w:rsidRPr="002E5E98" w:rsidRDefault="00FB5FA6" w:rsidP="00FD79C1">
            <w:pPr>
              <w:pStyle w:val="NoSpacing"/>
            </w:pPr>
            <w:r w:rsidRPr="002E5E98">
              <w:t>Career Ladder</w:t>
            </w:r>
          </w:p>
        </w:tc>
        <w:tc>
          <w:tcPr>
            <w:tcW w:w="1101" w:type="dxa"/>
            <w:tcBorders>
              <w:top w:val="single" w:sz="4" w:space="0" w:color="auto"/>
              <w:left w:val="nil"/>
              <w:bottom w:val="single" w:sz="4" w:space="0" w:color="auto"/>
              <w:right w:val="single" w:sz="4" w:space="0" w:color="auto"/>
            </w:tcBorders>
            <w:shd w:val="clear" w:color="auto" w:fill="FFFFFF" w:themeFill="background1"/>
            <w:noWrap/>
            <w:vAlign w:val="bottom"/>
          </w:tcPr>
          <w:p w14:paraId="45FF0676" w14:textId="77777777" w:rsidR="00FB5FA6" w:rsidRDefault="00FB5FA6" w:rsidP="00FD79C1">
            <w:pPr>
              <w:pStyle w:val="NoSpacing"/>
              <w:jc w:val="center"/>
              <w:rPr>
                <w:rFonts w:ascii="Calibri" w:hAnsi="Calibri"/>
              </w:rPr>
            </w:pPr>
          </w:p>
        </w:tc>
        <w:tc>
          <w:tcPr>
            <w:tcW w:w="1490" w:type="dxa"/>
            <w:tcBorders>
              <w:top w:val="single" w:sz="4" w:space="0" w:color="auto"/>
              <w:left w:val="nil"/>
              <w:bottom w:val="single" w:sz="4" w:space="0" w:color="auto"/>
              <w:right w:val="single" w:sz="4" w:space="0" w:color="auto"/>
            </w:tcBorders>
            <w:shd w:val="clear" w:color="auto" w:fill="FFFFFF" w:themeFill="background1"/>
            <w:noWrap/>
            <w:vAlign w:val="bottom"/>
          </w:tcPr>
          <w:p w14:paraId="63A7BEDF" w14:textId="77777777" w:rsidR="00FB5FA6" w:rsidRDefault="00FB5FA6" w:rsidP="00FD79C1">
            <w:pPr>
              <w:pStyle w:val="NoSpacing"/>
              <w:jc w:val="center"/>
              <w:rPr>
                <w:rFonts w:ascii="Calibri" w:hAnsi="Calibri"/>
              </w:rPr>
            </w:pPr>
          </w:p>
        </w:tc>
        <w:tc>
          <w:tcPr>
            <w:tcW w:w="1490" w:type="dxa"/>
            <w:tcBorders>
              <w:top w:val="single" w:sz="4" w:space="0" w:color="auto"/>
              <w:left w:val="nil"/>
              <w:bottom w:val="single" w:sz="4" w:space="0" w:color="auto"/>
              <w:right w:val="single" w:sz="4" w:space="0" w:color="auto"/>
            </w:tcBorders>
            <w:shd w:val="clear" w:color="auto" w:fill="FFFFFF" w:themeFill="background1"/>
            <w:noWrap/>
            <w:vAlign w:val="bottom"/>
          </w:tcPr>
          <w:p w14:paraId="35526155" w14:textId="77777777" w:rsidR="00FB5FA6" w:rsidRDefault="00FB5FA6" w:rsidP="00FD79C1">
            <w:pPr>
              <w:pStyle w:val="NoSpacing"/>
              <w:jc w:val="center"/>
              <w:rPr>
                <w:rFonts w:ascii="Calibri" w:hAnsi="Calibri"/>
              </w:rPr>
            </w:pPr>
          </w:p>
        </w:tc>
        <w:tc>
          <w:tcPr>
            <w:tcW w:w="1822" w:type="dxa"/>
            <w:tcBorders>
              <w:top w:val="single" w:sz="4" w:space="0" w:color="auto"/>
              <w:left w:val="nil"/>
              <w:bottom w:val="single" w:sz="4" w:space="0" w:color="auto"/>
              <w:right w:val="single" w:sz="4" w:space="0" w:color="auto"/>
            </w:tcBorders>
            <w:shd w:val="clear" w:color="auto" w:fill="FFFFFF" w:themeFill="background1"/>
            <w:noWrap/>
            <w:vAlign w:val="bottom"/>
          </w:tcPr>
          <w:p w14:paraId="346CB812" w14:textId="77777777" w:rsidR="00FB5FA6" w:rsidRDefault="00FB5FA6" w:rsidP="00FD79C1">
            <w:pPr>
              <w:pStyle w:val="NoSpacing"/>
              <w:jc w:val="center"/>
              <w:rPr>
                <w:rFonts w:ascii="Calibri" w:hAnsi="Calibri"/>
              </w:rPr>
            </w:pPr>
            <w:r>
              <w:rPr>
                <w:rFonts w:ascii="Calibri" w:hAnsi="Calibri"/>
              </w:rPr>
              <w:t>X</w:t>
            </w:r>
          </w:p>
        </w:tc>
        <w:tc>
          <w:tcPr>
            <w:tcW w:w="1725" w:type="dxa"/>
            <w:tcBorders>
              <w:top w:val="single" w:sz="4" w:space="0" w:color="auto"/>
              <w:left w:val="nil"/>
              <w:bottom w:val="single" w:sz="4" w:space="0" w:color="auto"/>
              <w:right w:val="single" w:sz="4" w:space="0" w:color="auto"/>
            </w:tcBorders>
            <w:shd w:val="clear" w:color="auto" w:fill="FFFFFF" w:themeFill="background1"/>
            <w:noWrap/>
            <w:vAlign w:val="bottom"/>
          </w:tcPr>
          <w:p w14:paraId="49DE5B3D" w14:textId="77777777" w:rsidR="00FB5FA6" w:rsidRDefault="00FB5FA6" w:rsidP="00FD79C1">
            <w:pPr>
              <w:pStyle w:val="NoSpacing"/>
              <w:jc w:val="center"/>
              <w:rPr>
                <w:rFonts w:ascii="Calibri" w:hAnsi="Calibri"/>
              </w:rPr>
            </w:pPr>
            <w:r>
              <w:rPr>
                <w:rFonts w:ascii="Calibri" w:hAnsi="Calibri"/>
              </w:rPr>
              <w:t>X</w:t>
            </w:r>
          </w:p>
        </w:tc>
      </w:tr>
    </w:tbl>
    <w:bookmarkEnd w:id="7"/>
    <w:p w14:paraId="415D8360" w14:textId="77777777" w:rsidR="00FB5FA6" w:rsidRPr="00386AD9" w:rsidRDefault="00FB5FA6" w:rsidP="00FB5FA6">
      <w:pPr>
        <w:rPr>
          <w:sz w:val="18"/>
          <w:szCs w:val="18"/>
        </w:rPr>
      </w:pPr>
      <w:r w:rsidRPr="00386AD9">
        <w:rPr>
          <w:sz w:val="18"/>
          <w:szCs w:val="18"/>
        </w:rPr>
        <w:t xml:space="preserve">*Must be included in the FY 2025 Budget Submission uploaded to SharePoint </w:t>
      </w:r>
      <w:r>
        <w:rPr>
          <w:sz w:val="18"/>
          <w:szCs w:val="18"/>
        </w:rPr>
        <w:t xml:space="preserve">and </w:t>
      </w:r>
      <w:r w:rsidRPr="00386AD9">
        <w:rPr>
          <w:sz w:val="18"/>
          <w:szCs w:val="18"/>
        </w:rPr>
        <w:t xml:space="preserve">emailed to Ruby Sanchez with HRMD at ruby.sanchez@traviscountytx.gov. </w:t>
      </w:r>
    </w:p>
    <w:p w14:paraId="3B85C0D5" w14:textId="77777777" w:rsidR="00FB5FA6" w:rsidRPr="00852805" w:rsidRDefault="00FB5FA6" w:rsidP="00FB5FA6">
      <w:pPr>
        <w:rPr>
          <w:rFonts w:cstheme="minorHAnsi"/>
        </w:rPr>
      </w:pPr>
      <w:r w:rsidRPr="002E5E98">
        <w:lastRenderedPageBreak/>
        <w:t xml:space="preserve">Memos should fully describe and justify the proposed change. This should include a description of why the change is necessary, what programmatic areas will be impacted, how a potential salary change will be funded, as well as any space and technology needs. </w:t>
      </w:r>
      <w:r w:rsidRPr="00163834">
        <w:rPr>
          <w:bCs/>
        </w:rPr>
        <w:t xml:space="preserve">Please note, </w:t>
      </w:r>
      <w:r>
        <w:rPr>
          <w:bCs/>
        </w:rPr>
        <w:t>Department</w:t>
      </w:r>
      <w:r w:rsidRPr="00163834">
        <w:rPr>
          <w:bCs/>
        </w:rPr>
        <w:t>s are responsible for contacting ITS and FMD directly for all space and technology needs.</w:t>
      </w:r>
      <w:r>
        <w:rPr>
          <w:bCs/>
        </w:rPr>
        <w:t xml:space="preserve"> </w:t>
      </w:r>
    </w:p>
    <w:p w14:paraId="154385BF" w14:textId="77777777" w:rsidR="00FB5FA6" w:rsidRDefault="00FB5FA6" w:rsidP="00FB5FA6">
      <w:r w:rsidRPr="008D7C45">
        <w:t>All costs related to internally funded new positions including one</w:t>
      </w:r>
      <w:r w:rsidRPr="006E0936">
        <w:t xml:space="preserve">-time costs such as space, equipment, furniture, and vehicles, as well as ongoing costs such as operating supplies, must be available within the </w:t>
      </w:r>
      <w:r>
        <w:t>Department</w:t>
      </w:r>
      <w:r w:rsidRPr="006E0936">
        <w:t xml:space="preserve">’s existing resources, with the cost figures verified by the appropriate administrative support </w:t>
      </w:r>
      <w:r>
        <w:t>Department</w:t>
      </w:r>
      <w:r w:rsidRPr="006E0936">
        <w:t xml:space="preserve">. </w:t>
      </w:r>
      <w:r w:rsidRPr="00EB7888">
        <w:rPr>
          <w:b/>
          <w:bCs/>
        </w:rPr>
        <w:t>A PB-4 and PB-5 must be submitted for items that are not proposed to be internally funded.</w:t>
      </w:r>
      <w:r>
        <w:t xml:space="preserve"> </w:t>
      </w:r>
      <w:r w:rsidRPr="006E0936">
        <w:t xml:space="preserve">Offices and </w:t>
      </w:r>
      <w:r>
        <w:t>Department</w:t>
      </w:r>
      <w:r w:rsidRPr="006E0936">
        <w:t xml:space="preserve">s should submit an estimate of cost from the relevant support </w:t>
      </w:r>
      <w:r>
        <w:t>Office</w:t>
      </w:r>
      <w:r w:rsidRPr="006E0936">
        <w:t xml:space="preserve">s and </w:t>
      </w:r>
      <w:r>
        <w:t>Department</w:t>
      </w:r>
      <w:r w:rsidRPr="006E0936">
        <w:t xml:space="preserve">s (such as ITS, TNR, </w:t>
      </w:r>
      <w:r>
        <w:t xml:space="preserve">or </w:t>
      </w:r>
      <w:r w:rsidRPr="006E0936">
        <w:t xml:space="preserve">FMD) with the </w:t>
      </w:r>
      <w:r>
        <w:t>FY 2025</w:t>
      </w:r>
      <w:r w:rsidRPr="006E0936">
        <w:t xml:space="preserve"> Budget Submission on </w:t>
      </w:r>
      <w:r w:rsidRPr="00386AD9">
        <w:t>April 22, 2024</w:t>
      </w:r>
      <w:r w:rsidRPr="006E0936">
        <w:t xml:space="preserve">. For that reason, PBO urges </w:t>
      </w:r>
      <w:r>
        <w:t>Office</w:t>
      </w:r>
      <w:r w:rsidRPr="006E0936">
        <w:t xml:space="preserve">s and </w:t>
      </w:r>
      <w:r>
        <w:t>Department</w:t>
      </w:r>
      <w:r w:rsidRPr="006E0936">
        <w:t xml:space="preserve">s to begin working with these support </w:t>
      </w:r>
      <w:r>
        <w:t>Department</w:t>
      </w:r>
      <w:r w:rsidRPr="006E0936">
        <w:t xml:space="preserve">s as soon as possible. For questions regarding which support </w:t>
      </w:r>
      <w:r>
        <w:t>Department</w:t>
      </w:r>
      <w:r w:rsidRPr="006E0936">
        <w:t>s may be impacted, please contact the assigned</w:t>
      </w:r>
      <w:r w:rsidRPr="008D7C45">
        <w:t xml:space="preserve"> Planning and Budget Analyst.</w:t>
      </w:r>
      <w:r w:rsidRPr="008D7C45" w:rsidDel="004565E4">
        <w:t xml:space="preserve"> </w:t>
      </w:r>
      <w:r w:rsidRPr="008D7C45">
        <w:t xml:space="preserve">Individual assignments and phone numbers are listed in </w:t>
      </w:r>
      <w:r>
        <w:t xml:space="preserve">section six of the </w:t>
      </w:r>
      <w:r w:rsidRPr="008D7C45">
        <w:t>Appendix.</w:t>
      </w:r>
      <w:r>
        <w:t xml:space="preserve"> </w:t>
      </w:r>
    </w:p>
    <w:p w14:paraId="5A6EA61C" w14:textId="77777777" w:rsidR="00FB5FA6" w:rsidRDefault="00FB5FA6" w:rsidP="00FB5FA6">
      <w:pPr>
        <w:rPr>
          <w:rFonts w:cstheme="minorHAnsi"/>
        </w:rPr>
      </w:pPr>
      <w:r w:rsidRPr="00852805">
        <w:rPr>
          <w:rFonts w:cstheme="minorHAnsi"/>
        </w:rPr>
        <w:t xml:space="preserve">PBO will discuss all proposed FY 2025 </w:t>
      </w:r>
      <w:r>
        <w:rPr>
          <w:rFonts w:cstheme="minorHAnsi"/>
        </w:rPr>
        <w:t xml:space="preserve">organizational and position changes </w:t>
      </w:r>
      <w:r w:rsidRPr="00852805">
        <w:rPr>
          <w:rFonts w:cstheme="minorHAnsi"/>
        </w:rPr>
        <w:t>with HRMD for review and input for any recommended changes in the FY 2025 Preliminary Budget.</w:t>
      </w:r>
    </w:p>
    <w:p w14:paraId="36AF636D" w14:textId="77777777" w:rsidR="00323C84" w:rsidRDefault="00323C84" w:rsidP="000511A4">
      <w:pPr>
        <w:keepNext/>
      </w:pPr>
    </w:p>
    <w:sectPr w:rsidR="0032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B5A52"/>
    <w:multiLevelType w:val="hybridMultilevel"/>
    <w:tmpl w:val="A2180A42"/>
    <w:lvl w:ilvl="0" w:tplc="C6D80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456335">
    <w:abstractNumId w:val="0"/>
  </w:num>
  <w:num w:numId="2" w16cid:durableId="123420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58"/>
    <w:rsid w:val="000511A4"/>
    <w:rsid w:val="00116374"/>
    <w:rsid w:val="002E5807"/>
    <w:rsid w:val="00323C84"/>
    <w:rsid w:val="00327858"/>
    <w:rsid w:val="00623CD5"/>
    <w:rsid w:val="00677E94"/>
    <w:rsid w:val="00A76514"/>
    <w:rsid w:val="00B55B76"/>
    <w:rsid w:val="00E56EB9"/>
    <w:rsid w:val="00FB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73BE"/>
  <w15:chartTrackingRefBased/>
  <w15:docId w15:val="{5316E76E-C472-47ED-856F-91525BFC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58"/>
    <w:pPr>
      <w:spacing w:before="100" w:after="200" w:line="276" w:lineRule="auto"/>
      <w:jc w:val="both"/>
    </w:pPr>
    <w:rPr>
      <w:rFonts w:eastAsiaTheme="minorEastAsia"/>
      <w:sz w:val="20"/>
      <w:szCs w:val="20"/>
    </w:rPr>
  </w:style>
  <w:style w:type="paragraph" w:styleId="Heading2">
    <w:name w:val="heading 2"/>
    <w:aliases w:val="Secondary Header"/>
    <w:basedOn w:val="Normal"/>
    <w:next w:val="Normal"/>
    <w:link w:val="Heading2Char"/>
    <w:uiPriority w:val="1"/>
    <w:unhideWhenUsed/>
    <w:qFormat/>
    <w:rsid w:val="0032785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ary Header Char"/>
    <w:basedOn w:val="DefaultParagraphFont"/>
    <w:link w:val="Heading2"/>
    <w:uiPriority w:val="1"/>
    <w:rsid w:val="00327858"/>
    <w:rPr>
      <w:rFonts w:eastAsiaTheme="minorEastAsia"/>
      <w:caps/>
      <w:spacing w:val="15"/>
      <w:sz w:val="20"/>
      <w:szCs w:val="24"/>
      <w:shd w:val="clear" w:color="auto" w:fill="D9E2F3" w:themeFill="accent1" w:themeFillTint="33"/>
    </w:rPr>
  </w:style>
  <w:style w:type="character" w:styleId="CommentReference">
    <w:name w:val="annotation reference"/>
    <w:uiPriority w:val="99"/>
    <w:rsid w:val="00327858"/>
    <w:rPr>
      <w:sz w:val="16"/>
    </w:rPr>
  </w:style>
  <w:style w:type="paragraph" w:styleId="CommentText">
    <w:name w:val="annotation text"/>
    <w:basedOn w:val="Normal"/>
    <w:link w:val="CommentTextChar"/>
    <w:uiPriority w:val="99"/>
    <w:rsid w:val="00327858"/>
  </w:style>
  <w:style w:type="character" w:customStyle="1" w:styleId="CommentTextChar">
    <w:name w:val="Comment Text Char"/>
    <w:basedOn w:val="DefaultParagraphFont"/>
    <w:link w:val="CommentText"/>
    <w:uiPriority w:val="99"/>
    <w:rsid w:val="00327858"/>
    <w:rPr>
      <w:rFonts w:eastAsiaTheme="minorEastAsia"/>
      <w:sz w:val="20"/>
      <w:szCs w:val="20"/>
    </w:rPr>
  </w:style>
  <w:style w:type="paragraph" w:styleId="NoSpacing">
    <w:name w:val="No Spacing"/>
    <w:link w:val="NoSpacingChar"/>
    <w:uiPriority w:val="1"/>
    <w:qFormat/>
    <w:rsid w:val="00327858"/>
    <w:pPr>
      <w:spacing w:before="100" w:after="0" w:line="240" w:lineRule="auto"/>
    </w:pPr>
    <w:rPr>
      <w:rFonts w:eastAsiaTheme="minorEastAsia"/>
      <w:sz w:val="20"/>
      <w:szCs w:val="20"/>
    </w:rPr>
  </w:style>
  <w:style w:type="character" w:styleId="SubtleEmphasis">
    <w:name w:val="Subtle Emphasis"/>
    <w:aliases w:val="Table Headers"/>
    <w:uiPriority w:val="19"/>
    <w:qFormat/>
    <w:rsid w:val="00FB5FA6"/>
    <w:rPr>
      <w:i/>
      <w:iCs/>
      <w:color w:val="1F3763" w:themeColor="accent1" w:themeShade="7F"/>
    </w:rPr>
  </w:style>
  <w:style w:type="character" w:customStyle="1" w:styleId="NoSpacingChar">
    <w:name w:val="No Spacing Char"/>
    <w:basedOn w:val="DefaultParagraphFont"/>
    <w:link w:val="NoSpacing"/>
    <w:uiPriority w:val="1"/>
    <w:rsid w:val="00FB5FA6"/>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Chang</dc:creator>
  <cp:keywords/>
  <dc:description/>
  <cp:lastModifiedBy>Tammy Hutchinson</cp:lastModifiedBy>
  <cp:revision>4</cp:revision>
  <dcterms:created xsi:type="dcterms:W3CDTF">2024-03-04T22:42:00Z</dcterms:created>
  <dcterms:modified xsi:type="dcterms:W3CDTF">2024-03-04T22:57:00Z</dcterms:modified>
</cp:coreProperties>
</file>